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A" w:rsidRDefault="006F7A1A" w:rsidP="006F7A1A">
      <w:pPr>
        <w:pStyle w:val="berschrift1"/>
        <w:rPr>
          <w:rFonts w:ascii="Verdana" w:hAnsi="Verdana"/>
          <w:color w:val="auto"/>
          <w:sz w:val="28"/>
        </w:rPr>
      </w:pPr>
      <w:bookmarkStart w:id="0" w:name="_Toc516819047"/>
      <w:bookmarkStart w:id="1" w:name="_GoBack"/>
      <w:bookmarkEnd w:id="1"/>
      <w:r w:rsidRPr="005C620B">
        <w:rPr>
          <w:rFonts w:ascii="Verdana" w:hAnsi="Verdana"/>
          <w:color w:val="auto"/>
          <w:sz w:val="28"/>
        </w:rPr>
        <w:t>Checkliste</w:t>
      </w:r>
      <w:r w:rsidRPr="005C620B">
        <w:rPr>
          <w:rFonts w:ascii="Verdana" w:eastAsia="Microsoft YaHei" w:hAnsi="Verdana"/>
          <w:color w:val="auto"/>
          <w:sz w:val="28"/>
        </w:rPr>
        <w:t xml:space="preserve"> </w:t>
      </w:r>
      <w:r w:rsidRPr="005C620B">
        <w:rPr>
          <w:rFonts w:ascii="Verdana" w:hAnsi="Verdana"/>
          <w:color w:val="auto"/>
          <w:sz w:val="28"/>
        </w:rPr>
        <w:t>für</w:t>
      </w:r>
      <w:r w:rsidRPr="005C620B">
        <w:rPr>
          <w:rFonts w:ascii="Verdana" w:eastAsia="Microsoft YaHei" w:hAnsi="Verdana"/>
          <w:color w:val="auto"/>
          <w:sz w:val="28"/>
        </w:rPr>
        <w:t xml:space="preserve"> </w:t>
      </w:r>
      <w:r w:rsidRPr="005C620B">
        <w:rPr>
          <w:rFonts w:ascii="Verdana" w:hAnsi="Verdana"/>
          <w:color w:val="auto"/>
          <w:sz w:val="28"/>
        </w:rPr>
        <w:t>den</w:t>
      </w:r>
      <w:r w:rsidRPr="005C620B">
        <w:rPr>
          <w:rFonts w:ascii="Verdana" w:eastAsia="Microsoft YaHei" w:hAnsi="Verdana"/>
          <w:color w:val="auto"/>
          <w:sz w:val="28"/>
        </w:rPr>
        <w:t xml:space="preserve"> </w:t>
      </w:r>
      <w:r w:rsidRPr="005C620B">
        <w:rPr>
          <w:rFonts w:ascii="Verdana" w:hAnsi="Verdana"/>
          <w:color w:val="auto"/>
          <w:sz w:val="28"/>
        </w:rPr>
        <w:t>Stu</w:t>
      </w:r>
      <w:r>
        <w:rPr>
          <w:rFonts w:ascii="Verdana" w:hAnsi="Verdana"/>
          <w:color w:val="auto"/>
          <w:sz w:val="28"/>
        </w:rPr>
        <w:t>ndenplan im 1. Semester</w:t>
      </w:r>
      <w:bookmarkEnd w:id="0"/>
      <w:r>
        <w:rPr>
          <w:rFonts w:ascii="Verdana" w:hAnsi="Verdana"/>
          <w:color w:val="auto"/>
          <w:sz w:val="28"/>
        </w:rPr>
        <w:t xml:space="preserve"> </w:t>
      </w:r>
    </w:p>
    <w:p w:rsidR="006F7A1A" w:rsidRPr="00A71D58" w:rsidRDefault="006F7A1A" w:rsidP="006F7A1A"/>
    <w:p w:rsidR="006F7A1A" w:rsidRPr="001374D0" w:rsidRDefault="006F7A1A" w:rsidP="006F7A1A">
      <w:pPr>
        <w:suppressAutoHyphens w:val="0"/>
        <w:autoSpaceDE/>
        <w:spacing w:before="240"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Deine Kurse wählst du bei </w:t>
      </w:r>
      <w:r w:rsidRPr="001374D0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dem Online-Vorlesungsverzeichnis der HU: 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AGNES. Alle Hinweise zur Anmeldung findest du auf der Startseite: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</w:r>
      <w:hyperlink r:id="rId5" w:history="1">
        <w:r w:rsidRPr="001374D0">
          <w:rPr>
            <w:rStyle w:val="Hyperlink"/>
            <w:rFonts w:ascii="Verdana" w:eastAsia="Calibri" w:hAnsi="Verdana" w:cs="Times New Roman"/>
            <w:sz w:val="20"/>
            <w:szCs w:val="20"/>
            <w:lang w:eastAsia="en-US"/>
          </w:rPr>
          <w:t>https://agnes.hu-berlin.de/lupo/rds?state=user&amp;type=0</w:t>
        </w:r>
      </w:hyperlink>
    </w:p>
    <w:p w:rsidR="006F7A1A" w:rsidRPr="001374D0" w:rsidRDefault="006F7A1A" w:rsidP="006F7A1A">
      <w:pPr>
        <w:suppressAutoHyphens w:val="0"/>
        <w:autoSpaceDE/>
        <w:spacing w:before="120"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Welche Kurse du wann belegen musst, findest du in der Studien- und Prüfungsordnung und deren Änderungen:</w:t>
      </w:r>
      <w:r w:rsidRPr="001374D0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hyperlink r:id="rId6" w:history="1">
        <w:r w:rsidRPr="001374D0">
          <w:rPr>
            <w:rStyle w:val="Hyperlink"/>
            <w:rFonts w:ascii="Verdana" w:eastAsia="Calibri" w:hAnsi="Verdana" w:cs="Times New Roman"/>
            <w:sz w:val="20"/>
            <w:szCs w:val="20"/>
            <w:lang w:eastAsia="en-US"/>
          </w:rPr>
          <w:t>https://www.hu-berlin.de/de/studium/beratung/angebot/sgb/gpaed</w:t>
        </w:r>
      </w:hyperlink>
      <w:r w:rsidRPr="001374D0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</w:p>
    <w:p w:rsidR="006F7A1A" w:rsidRPr="001374D0" w:rsidRDefault="006F7A1A" w:rsidP="006F7A1A">
      <w:pPr>
        <w:suppressAutoHyphens w:val="0"/>
        <w:autoSpaceDE/>
        <w:spacing w:before="120"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Einen Leitfaden zur Stundenplanerstellung findest du auf der Website der PSE: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</w:r>
      <w:hyperlink r:id="rId7" w:history="1">
        <w:r w:rsidRPr="001374D0">
          <w:rPr>
            <w:rStyle w:val="Hyperlink"/>
            <w:rFonts w:ascii="Verdana" w:eastAsia="Calibri" w:hAnsi="Verdana" w:cs="Times New Roman"/>
            <w:sz w:val="20"/>
            <w:szCs w:val="20"/>
            <w:lang w:eastAsia="en-US"/>
          </w:rPr>
          <w:t>https://hu.berlin/leitfadenstundenplan</w:t>
        </w:r>
      </w:hyperlink>
    </w:p>
    <w:p w:rsidR="006F7A1A" w:rsidRPr="00A71D58" w:rsidRDefault="006F7A1A" w:rsidP="006F7A1A">
      <w:pPr>
        <w:suppressAutoHyphens w:val="0"/>
        <w:autoSpaceDE/>
        <w:spacing w:before="120"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Es gibt für die meisten Seminare/Veranstaltungen mehrere Gruppen, melde dich am besten für alle an, damit du sicher zugeteilt wirst. Mit Vergabe der Prioritäten kannst du deine Wünsche angeben.</w:t>
      </w:r>
      <w:r w:rsidRPr="001374D0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Wenn du jetzt deine Kurse belegt hast und nur noch wissen willst, ob du alles für das erste Semester hast: </w:t>
      </w:r>
      <w:r w:rsidRPr="001374D0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H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ier ist unsere </w:t>
      </w:r>
      <w:r w:rsidRPr="001374D0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Checkliste für einen idealtypischen Studienverlaufsplan.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brauchst auf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jeden Fall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aus dem Modul „Grundlagen der Allgemeinen Grundschulpädagogik“: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(Einführung in die Allgemeine Grundschulpädagogik)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(Lernen, Entwicklung, Heterogenität)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(Wissenschaftsdisziplin Grundschulpädagogik)</w: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ind w:left="720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Deutsch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? Du brauchst dazu aus dem Modul „Grundlagen und Konzeptionen der Didaktik des Lernbereichs Deutsch in der Grundschule“: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(Einführung in die Didaktik des Lernbereichs Deutsch in der Grundschule: Sprachliches Lernen und Lehren in der Grundschule)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(Mündlicher Sprachgebrauch: Sprechen und Zuhören in heterogenen Lerngruppen der Grundschule)</w: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ind w:left="720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Mathe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? Du brauchst dazu aus dem Modul „Arithmetik und ihre Didaktik“: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(Elemente der Arithmetik I)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mathematische Übung (Elemente der Arithmetik I)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Sachunterricht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? Du brauchst dazu aus dem Modul „Grundlagen des Sachunterrichts und seiner Didaktik“: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(Kind und Sache)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(Einführung in den Sachunterricht und seine Didaktik)</w: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ind w:left="720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Sport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? Du brauchst dazu aus dem Modul „Fachwissenschaftliche Kernkompetenzen“: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(Sport und Bewegung lehren und lernen)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zwei aus den folgenden drei Vorlesungen:</w:t>
      </w:r>
      <w:r w:rsidRPr="00A71D58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br/>
        <w:t>(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Sport und Bewegung in sozialen Kontexten;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  <w:t>Aufbau und Funktion des Körpers;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  <w:t>Bewegungssteuerung und Belastungsgestaltung)</w: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ind w:left="360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6F7A1A" w:rsidRPr="00A71D58" w:rsidRDefault="006F7A1A" w:rsidP="006F7A1A">
      <w:pPr>
        <w:suppressAutoHyphens w:val="0"/>
        <w:autoSpaceDE/>
        <w:spacing w:after="160" w:line="259" w:lineRule="auto"/>
        <w:ind w:left="360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Sonderpädagogik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? Du brauchst dazu aus dem Modul „Grundlagen der Sonder- und inklusiven Pädagogik“: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(Allgemeine Sonder- und Inklusionspädagogik)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(Einführung Didaktik inklusiven Unterrichts)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(Vertiefung Sonder- und Inklusionspädagogik)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(Einführung in die sonderpädagogischen Fachrichtungen)</w: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ind w:left="720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Achtung: diese </w:t>
      </w:r>
      <w:r w:rsidRPr="00A71D58">
        <w:rPr>
          <w:rFonts w:ascii="Verdana" w:eastAsia="Calibri" w:hAnsi="Verdana" w:cs="Times New Roman"/>
          <w:i/>
          <w:color w:val="auto"/>
          <w:sz w:val="20"/>
          <w:szCs w:val="20"/>
          <w:u w:val="single"/>
          <w:lang w:eastAsia="en-US"/>
        </w:rPr>
        <w:t>musst</w:t>
      </w:r>
      <w:r w:rsidRPr="00A71D58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du </w:t>
      </w:r>
      <w:r w:rsidR="007E5ACB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nicht </w:t>
      </w:r>
      <w:r w:rsidRPr="00A71D58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besuchen, wenn du überlegst „Sprache/emotionale und soziale Entwicklung“ und/oder „Lernen/emotionale und soziale Entwicklung“ als Fachrichtungen zu wählen; generell ist es aber empfehlenswert diese zu besuchen, um einen Überblick zu erhalten</w: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Sonderpädagogik (Gebärdensprachpädagogik/Hören und Kommunikation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)?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  <w:t>Du brauchst dazu aus dem Modul „Grundlagen der Gebärdensprach- und Audiopädagogik“: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(Einführung in die Allgemeine Sonder-und Inklusionspädagogik)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(Grundlagen der Gebärdensprach- &amp; Audiopädagogik)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ein Seminar (Einführung in </w:t>
      </w:r>
      <w:proofErr w:type="spellStart"/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Deaf</w:t>
      </w:r>
      <w:proofErr w:type="spellEnd"/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Studies)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(Grundlagen von Entwicklung und Lernen in der Kindheit und ihre Diagnostik)</w: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Außerdem aus dem Modul „</w:t>
      </w:r>
      <w:proofErr w:type="spellStart"/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Propädeutikum</w:t>
      </w:r>
      <w:proofErr w:type="spellEnd"/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: Grundkenntnisse in der DGS“: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einen Sprachkurs (Grundlagen der DGS)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einen Kleingruppensprachkurs (DGS-Produktion)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einen Sprachkurs (Visuell-gestische Kommunikation (VGK))</w: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ind w:left="720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6F7A1A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6F7A1A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6F7A1A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Es kann sein, dass deine Lebensumstände einen anderen Studienverlauf benötigen.</w:t>
      </w:r>
      <w:r w:rsidRPr="00FB0F4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Deshalb ist auch möglich nicht im idealtypischen Studienverlauf zu studieren.</w:t>
      </w:r>
    </w:p>
    <w:p w:rsidR="006F7A1A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Allerdings gewährleistet die Universität das Studium in Regelstudienzeit nur im idealtypischen Studienverlauf.</w:t>
      </w:r>
    </w:p>
    <w:p w:rsidR="006F7A1A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D85E24">
        <w:rPr>
          <w:rFonts w:ascii="Verdana" w:eastAsia="Calibri" w:hAnsi="Verdana" w:cs="Times New Roman"/>
          <w:b/>
          <w:color w:val="auto"/>
          <w:szCs w:val="20"/>
          <w:lang w:eastAsia="en-US"/>
        </w:rPr>
        <w:t>Lass Dich dazu beraten.</w:t>
      </w:r>
    </w:p>
    <w:p w:rsidR="00C848F9" w:rsidRDefault="006F7A1A" w:rsidP="006F7A1A"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Hast D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u jetzt noch Fragen? Klappt etwas nicht? Komm gerne zu uns in die 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„Offene Grundschulwerkstätten“ s.o.</w:t>
      </w:r>
    </w:p>
    <w:sectPr w:rsidR="00C84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23DA"/>
    <w:multiLevelType w:val="hybridMultilevel"/>
    <w:tmpl w:val="2A0A3C00"/>
    <w:lvl w:ilvl="0" w:tplc="2F16DD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1A"/>
    <w:rsid w:val="00214803"/>
    <w:rsid w:val="006F7A1A"/>
    <w:rsid w:val="007E5ACB"/>
    <w:rsid w:val="00C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A571-19EC-482F-9E41-B4E0EB2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F7A1A"/>
    <w:pPr>
      <w:suppressAutoHyphens/>
      <w:autoSpaceDE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A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7A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yperlink">
    <w:name w:val="Hyperlink"/>
    <w:uiPriority w:val="99"/>
    <w:rsid w:val="006F7A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berlin/leitfadenstunden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-berlin.de/de/studium/beratung/angebot/sgb/gpaed" TargetMode="External"/><Relationship Id="rId5" Type="http://schemas.openxmlformats.org/officeDocument/2006/relationships/hyperlink" Target="https://agnes.hu-berlin.de/lupo/rds?state=user&amp;type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Frodermann</dc:creator>
  <cp:keywords/>
  <dc:description/>
  <cp:lastModifiedBy>Teresa Frodermann</cp:lastModifiedBy>
  <cp:revision>2</cp:revision>
  <dcterms:created xsi:type="dcterms:W3CDTF">2019-03-25T14:01:00Z</dcterms:created>
  <dcterms:modified xsi:type="dcterms:W3CDTF">2019-03-25T14:01:00Z</dcterms:modified>
</cp:coreProperties>
</file>